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1: Fiscal Policy &amp; Budgetary Data: Indian Economy 2024-25</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macroeconomic architecture of the Indian economy has undergone a profound structural transformation in the post-pandemic era, transitioning definitively from a consumption-led recovery framework to an investment-led, capacity-building paradigm. Backed by the robust macroeconomic frameworks presented in the Union Budget 2024-25, the Interim Budget 2024-25, and the foundational data from the Economic Survey 2023-24, the central government has adopted a dual-engine strategy. This strategy is defined by aggressive fiscal consolidation on one hand and unparalleled capital expenditure expansion on the other.</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Indian economy registered a formidable real Gross Domestic Product (GDP) growth rate of 8.2% in the financial year 2023-24 (FY23-24 Actuals), coming on the heels of 9.7% and 7.0% growth in the preceding two years.</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This growth was heavily supported by strong non-financial private-sector capital formation and sustained public infrastructure outlays.</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Looking forward, the Union Budget 2024-25 estimates a nominal GDP growth rate of 10.5% for the FY25 Budget Estimates (BE).</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With retail headline inflation moderating to an average of 5.4% in FY24—down significantly from 6.7% in FY23—the macroeconomic environment reflects a stabilization phase that allows fiscal policy to focus predominantly on long-term capacity building, supply-side bottlenecks, and human capital development rather than short-term crisis stabilization.</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Furthermore, India's external sector exhibits remarkable stability, anchoring domestic fiscal operations. The Current Account Deficit (CAD) moderated to a highly comfortable 0.7% of GDP in FY24 (down from 2.0% in FY23), driven by a shrinking merchandise trade deficit and robust services exports.</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Coupled with foreign exchange reserves crossing the $700 billion threshold, these buffers ensure that elevated domestic infrastructure spending does not lead to a twin-deficit crisis.</w:t>
      </w:r>
      <w:r w:rsidDel="00000000" w:rsidR="00000000" w:rsidRPr="00000000">
        <w:rPr>
          <w:rFonts w:ascii="Google Sans" w:cs="Google Sans" w:eastAsia="Google Sans" w:hAnsi="Google Sans"/>
          <w:color w:val="444746"/>
          <w:sz w:val="24"/>
          <w:szCs w:val="24"/>
          <w:vertAlign w:val="superscript"/>
          <w:rtl w:val="0"/>
        </w:rPr>
        <w:t xml:space="preserve">7</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comprehensive research report serves as an exhaustive, advanced-level reference module on the Indian Economy. It strictly prioritizes empirical accuracy, chronological precision, and advanced macroeconomic theory. The data is rigorously grounded in the most recent official sources, explicitly distinguishing between Actuals, Revised Estimates (RE), and Budget Estimates (BE), to provide a nuanced understanding of India's evolving fiscal state.</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1: Fiscal Policy &amp; Budgetary Data</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Fiscal policy in India is guided by the Fiscal Responsibility and Budget Management (FRBM) Act, which mandates a prudent glide path for sovereign debt and deficit reduction. The Union Budget 2024-25 explicitly reiterates the administration's steadfast commitment to this consolidation path, targeting a reduction of the fiscal deficit to below 4.5% of GDP by FY26.</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Deficit Trends and Macroeconomic Implications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deficit metrics trace a clear trajectory of fiscal prudence. The data indicates a systematic and deliberate unwinding of the pandemic-era fiscal stimulus, transitioning from a peak fiscal deficit of 9.2% of GDP in FY21 down to a highly disciplined budgeted estimate of 4.9% for FY25.</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This consolidation is not achieved through severe austerity that harms growth, but rather through improved tax buoyancy, subsidy rationalization, and the denominator effect of strong nominal GDP growth.</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1: Deficit Trends as a Percentage of GDP</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Deficit Indicator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FY23 (Actuals)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FY24 (Revised Estimates - 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FY25 (Budget Estimates - BE)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Fiscal Deficit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4.9%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Revenue Deficit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Deficit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Effective Revenue Deficit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0.8%</w:t>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Data Note: The percentages reflect the exact official figures presented in the Union Budget 2024-25 Budget at a Glance and corroborating macroeconomic reviews.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2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Analytical Context of Deficit Metrics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1. Fiscal Deficit (4.9% in FY25 BE):</w:t>
      </w:r>
      <w:r w:rsidDel="00000000" w:rsidR="00000000" w:rsidRPr="00000000">
        <w:rPr>
          <w:rFonts w:ascii="Google Sans" w:cs="Google Sans" w:eastAsia="Google Sans" w:hAnsi="Google Sans"/>
          <w:color w:val="1f1f1f"/>
          <w:rtl w:val="0"/>
        </w:rPr>
        <w:t xml:space="preserve"> The Fiscal Deficit represents the total borrowing requirement of the Union Government. The reduction of the Fiscal Deficit to 4.9% in FY25 (BE) from 5.8% in FY24 (RE) is a watershed moment in recent fiscal history.</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In absolute terms, the fiscal deficit for FY25 is budgeted at ₹16,13,312 crore.</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To finance this, gross market borrowings through dated securities are estimated at ₹14.01 lakh crore, with net market borrowings pegged at ₹11.63 lakh crore.</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From a macroeconomic perspective, the deliberate scaling back of sovereign borrowing is vital. Heavy government borrowing inherently increases the supply of sovereign bonds, which can drive up bond yields and subsequently raise the cost of capital across the broader economy. By curtailing this "crowding out" effect, the government ensures that sufficient domestic liquidity remains available for private sector credit expansion.</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This fiscal discipline has also yielded external dividends; for instance, S&amp;P upgraded India's sovereign rating outlook, marking the first major upgrade from the agency in nearly two decades, predicated on this exact adherence to the fiscal glide path.</w:t>
      </w:r>
      <w:r w:rsidDel="00000000" w:rsidR="00000000" w:rsidRPr="00000000">
        <w:rPr>
          <w:rFonts w:ascii="Google Sans" w:cs="Google Sans" w:eastAsia="Google Sans" w:hAnsi="Google Sans"/>
          <w:color w:val="444746"/>
          <w:sz w:val="24"/>
          <w:szCs w:val="24"/>
          <w:vertAlign w:val="superscript"/>
          <w:rtl w:val="0"/>
        </w:rPr>
        <w:t xml:space="preserve">11</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2. Revenue Deficit (1.8% in FY25 BE):</w:t>
      </w:r>
      <w:r w:rsidDel="00000000" w:rsidR="00000000" w:rsidRPr="00000000">
        <w:rPr>
          <w:rFonts w:ascii="Google Sans" w:cs="Google Sans" w:eastAsia="Google Sans" w:hAnsi="Google Sans"/>
          <w:color w:val="1f1f1f"/>
          <w:rtl w:val="0"/>
        </w:rPr>
        <w:t xml:space="preserve"> The Revenue Deficit measures the shortfall of current revenue receipts over current revenue expenditures. A high revenue deficit implies that the government is borrowing simply to fund day-to-day consumption and administrative expenses, which yields no future financial returns. The steep decline from 3.9% in FY23 (Actuals) to a budgeted 1.8% in FY25 (BE) is arguably the most positive qualitative indicator in the budget.</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It signifies that the government is increasingly financing its recurring operations through intrinsic, sustainable revenue streams (taxation) rather than accumulating unproductive debt.</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3. Effective Revenue Deficit (0.8% in FY25 BE):</w:t>
      </w:r>
      <w:r w:rsidDel="00000000" w:rsidR="00000000" w:rsidRPr="00000000">
        <w:rPr>
          <w:rFonts w:ascii="Google Sans" w:cs="Google Sans" w:eastAsia="Google Sans" w:hAnsi="Google Sans"/>
          <w:color w:val="1f1f1f"/>
          <w:rtl w:val="0"/>
        </w:rPr>
        <w:t xml:space="preserve"> The Effective Revenue Deficit (ERD) is a uniquely Indian fiscal metric, introduced to exclude grants given by the Union to the States for the explicit creation of capital assets. Since these grants are technically classified as "revenue expenditure" in the Union accounting system, they artificially inflate the revenue deficit, even though the funds are used for productive capital formation at the state level. The projected plunge in the ERD to an almost negligible 0.8% in FY25 (BE)—down from 2.8% in FY23 (Actuals)—signals an overwhelming structural shift.</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It illustrates that nearly all borrowed funds at the Union level are now directly translating into capital asset creation, fulfilling the "Golden Rule" of public finance which dictates that governments should only borrow to invest, not to consume.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4. Primary Deficit (1.4% in FY25 BE):</w:t>
      </w:r>
      <w:r w:rsidDel="00000000" w:rsidR="00000000" w:rsidRPr="00000000">
        <w:rPr>
          <w:rFonts w:ascii="Google Sans" w:cs="Google Sans" w:eastAsia="Google Sans" w:hAnsi="Google Sans"/>
          <w:color w:val="1f1f1f"/>
          <w:rtl w:val="0"/>
        </w:rPr>
        <w:t xml:space="preserve"> The Primary Deficit is calculated by subtracting interest payments from the Fiscal Deficit. Because interest payments are an unavoidable legacy of accumulated past borrowings, the primary deficit reflects the fundamental stance of the </w:t>
      </w:r>
      <w:r w:rsidDel="00000000" w:rsidR="00000000" w:rsidRPr="00000000">
        <w:rPr>
          <w:rFonts w:ascii="Google Sans" w:cs="Google Sans" w:eastAsia="Google Sans" w:hAnsi="Google Sans"/>
          <w:i w:val="1"/>
          <w:iCs w:val="1"/>
          <w:color w:val="1f1f1f"/>
          <w:rtl w:val="0"/>
        </w:rPr>
        <w:t xml:space="preserve">current</w:t>
      </w:r>
      <w:r w:rsidDel="00000000" w:rsidR="00000000" w:rsidRPr="00000000">
        <w:rPr>
          <w:rFonts w:ascii="Google Sans" w:cs="Google Sans" w:eastAsia="Google Sans" w:hAnsi="Google Sans"/>
          <w:color w:val="1f1f1f"/>
          <w:rtl w:val="0"/>
        </w:rPr>
        <w:t xml:space="preserve"> year's fiscal operations. The Primary Deficit is budgeted to compress sharply to 1.4% of GDP in FY25 (BE), down from 3.0% in FY23 (Actuals).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A rapidly falling primary deficit denotes that current fiscal operations, excluding historical debt servicing, are operating with extreme discipline. This is particularly impressive given the massive burden of legacy debt; interest payments account for a staggering 24% of the total FY25 (BE) expenditure and consume 37% of all revenue receipts.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Bringing the primary deficit down to 1.4% is the clearest mathematical proof that the core budget is fundamentally balanced.</w:t>
      </w:r>
    </w:p>
    <w:p w:rsidR="00000000" w:rsidDel="00000000" w:rsidP="00000000" w:rsidRDefault="00000000" w:rsidRPr="00000000" w14:paraId="0000002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2: Taxation Trends and Revenue Generation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buoyancy in tax collections over the past three fiscal cycles has provided the indispensable fiscal space required to fund massive infrastructure expansion while simultaneously narrowing the fiscal deficit. The Union Government has steadily optimized its tax base through aggressive digitalization, formalization of the informal sector, the implementation of faceless tax assessments, and the strategic popularization of the simplified new income tax regime.</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2: Tax-to-GDP Ratios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Tax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FY23 (Actuals)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FY24 (Revised Estimates - 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FY25 (Budget Estimates - BE)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Direct Tax to GDP Ratio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6.7%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Indirect Tax to GDP Ratio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5.1%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4.9%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Gross Tax Revenue to GDP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11.7%</w:t>
            </w:r>
          </w:p>
        </w:tc>
      </w:tr>
    </w:tbl>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Data Note: The structural ratios reflect the upward adjustments from the Economic Survey 2023-24 Statistical Appendix, and institutional macroeconomic analyses of the Budget 2024-25.</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Structural Shift in Taxation: Progressive Over Regressive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empirical evidence points to a profound maturation of the Indian tax architecture. In FY25 (BE), the Direct Tax to GDP ratio is projected to reach 6.7%, definitively and sustainably outpacing the Indirect Tax to GDP ratio of 4.9%.</w:t>
      </w:r>
      <w:r w:rsidDel="00000000" w:rsidR="00000000" w:rsidRPr="00000000">
        <w:rPr>
          <w:rFonts w:ascii="Google Sans" w:cs="Google Sans" w:eastAsia="Google Sans" w:hAnsi="Google Sans"/>
          <w:color w:val="444746"/>
          <w:sz w:val="24"/>
          <w:szCs w:val="24"/>
          <w:vertAlign w:val="superscript"/>
          <w:rtl w:val="0"/>
        </w:rPr>
        <w:t xml:space="preserve">13</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divergence is not merely a statistical artifact; it represents a monumental shift toward a highly progressive tax system. Historically, developing economies rely heavily on indirect taxes (like excise, customs, and sales taxes), which are inherently regressive because they apply uniformly to the consumption of goods and services regardless of an individual's income bracket. This places a disproportionate burden on the lower-income strata.</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sustained rise in direct tax collections—driven largely by personal income tax outperforming corporate tax—demonstrates higher compliance, digital formalization, and improved tax administration efficiency.</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Between 2000-01 and 2023-24, personal income tax has grown at an annualized rate of 16%, compared to 15% for corporate tax.</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The contribution of direct taxes to total tax revenue climbed to 56.72% in 2023-24, marking the highest proportion in 14 years.</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Another significant factor altering this mix is the corporate tax rate cut enacted in 2019. The government deliberately sacrificed short-term corporate tax revenue (reducing the base rate from 30% to 22% for existing companies, and 15% for new manufacturing firms) to stimulate long-term private capital investment and improve global competitiveness.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While this temporarily suppressed the corporate tax-to-GDP ratio, it laid the groundwork for enhanced corporate profitability, which is now reflecting in higher private gross fixed capital formation.</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Concurrently, to boost aggregate demand and provide relief to the middle class, the Union Budget 2024-25 made strategic adjustments to the personal income tax structure under the new tax regime. The standard deduction for salaried individuals and pensioners was enhanced from ₹50,000 to ₹75,000.</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The deduction allowed for family pensions was increased from ₹15,000 to ₹25,000.</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Furthermore, the tax-deductible limit for employers' contributions to the National Pension System (NPS) was expanded to 14% of the employee's salary, up from the earlier 10%.</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These recalibrations are designed to increase disposable income, theoretically elevating the marginal propensity to consume (MPC) and counteracting tapering private consumption in the urban economy.</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"Rupee Comes From" Composition</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Analyzing the consolidated receipts of the Union Government provides unparalleled insight into the state's macroeconomic dependencies. The "Rupee Comes From" metric is a standard pedagogical tool that breaks down the entire revenue pool of the government into a simplified 100-paisa (or 100%) distribution.</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Based on the FY25 (BE) figures, the top four sources of revenue for the Union Government, arranged in strict descending order of their proportional contribution, are:</w:t>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3: Top 4 Revenue Sources (FY25 BE)</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Rank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Source of Revenue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Percentage Contribution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Borrowings and Other Liabilities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Income Tax (Personal)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Goods and Services Tax (GST) &amp; Other Related Taxes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Corporation Tax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17%</w:t>
            </w:r>
          </w:p>
        </w:tc>
      </w:tr>
    </w:tbl>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Data Note: Sourced directly from the "Budget at a Glance" document, Union Budget 2024-25.</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5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Insights into Revenue Profiling</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Borrowings and Other Liabilities (28%):</w:t>
      </w:r>
      <w:r w:rsidDel="00000000" w:rsidR="00000000" w:rsidRPr="00000000">
        <w:rPr>
          <w:rFonts w:ascii="Google Sans" w:cs="Google Sans" w:eastAsia="Google Sans" w:hAnsi="Google Sans"/>
          <w:color w:val="1f1f1f"/>
          <w:rtl w:val="0"/>
        </w:rPr>
        <w:t xml:space="preserve"> While reliance on borrowings remains the single largest source of budgetary funding at 28%, it is systematically declining in alignment with the FRBM consolidation targets.</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This borrowed capital is the direct equivalent of the fiscal deficit discussed in Module 1.1.</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Income Tax Surpassing Corporation Tax:</w:t>
      </w:r>
      <w:r w:rsidDel="00000000" w:rsidR="00000000" w:rsidRPr="00000000">
        <w:rPr>
          <w:rFonts w:ascii="Google Sans" w:cs="Google Sans" w:eastAsia="Google Sans" w:hAnsi="Google Sans"/>
          <w:color w:val="1f1f1f"/>
          <w:rtl w:val="0"/>
        </w:rPr>
        <w:t xml:space="preserve"> The most remarkable and economically significant trend in the FY25 (BE) distribution is Personal Income Tax (19%) surpassing Corporation Tax (17%).</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For decades, corporate tax was the primary engine of direct tax revenue in India. The inversion of this relationship indicates a rapidly widening base of individual taxpayers and rising formal incomes among the middle class. While only a small fraction of the population pays the bulk of income tax, the absolute number of return filers has grown at a compound annual growth rate (CAGR) of 10% over the last decade.</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Stabilization of GST (18%):</w:t>
      </w:r>
      <w:r w:rsidDel="00000000" w:rsidR="00000000" w:rsidRPr="00000000">
        <w:rPr>
          <w:rFonts w:ascii="Google Sans" w:cs="Google Sans" w:eastAsia="Google Sans" w:hAnsi="Google Sans"/>
          <w:color w:val="1f1f1f"/>
          <w:rtl w:val="0"/>
        </w:rPr>
        <w:t xml:space="preserve"> The Goods and Services Tax (GST) has definitively stabilized as an extremely reliable and robust revenue engine, contributing a steady 18% to the national exchequer.</w:t>
      </w:r>
      <w:r w:rsidDel="00000000" w:rsidR="00000000" w:rsidRPr="00000000">
        <w:rPr>
          <w:rFonts w:ascii="Google Sans" w:cs="Google Sans" w:eastAsia="Google Sans" w:hAnsi="Google Sans"/>
          <w:color w:val="444746"/>
          <w:sz w:val="24"/>
          <w:szCs w:val="24"/>
          <w:vertAlign w:val="superscript"/>
          <w:rtl w:val="0"/>
        </w:rPr>
        <w:t xml:space="preserve">18</w:t>
      </w:r>
      <w:r w:rsidDel="00000000" w:rsidR="00000000" w:rsidRPr="00000000">
        <w:rPr>
          <w:rFonts w:ascii="Google Sans" w:cs="Google Sans" w:eastAsia="Google Sans" w:hAnsi="Google Sans"/>
          <w:color w:val="1f1f1f"/>
          <w:rtl w:val="0"/>
        </w:rPr>
        <w:t xml:space="preserve"> Gross GST receipts are estimated to register a growth of 11.0% over the revised estimates for FY24, reaching an estimated ₹10.62 lakh crore in the central budget for FY25.</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This consistency is supported by stringent anti-evasion measures, e-invoicing, data analytics, and monthly gross collections that routinely cross the ₹1.6 lakh crore threshold across the country.</w:t>
      </w:r>
    </w:p>
    <w:p w:rsidR="00000000" w:rsidDel="00000000" w:rsidP="00000000" w:rsidRDefault="00000000" w:rsidRPr="00000000" w14:paraId="00000057">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3: Expenditure Profiling &amp; Capital Outlay</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Union Budget 2024-25 outlines a total expenditure estimate of ₹48,20,512 crore for FY25 (BE), which represents an 8.5% increase over the actual expenditure incurred in FY24.</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However, the headline expenditure number masks the qualitative transformation occurring within the budget. The cornerstone of the contemporary Indian fiscal strategy is the relentless, aggressive emphasis on Capital Expenditure (CapEx). While routine revenue expenditure is budgeted to grow at a highly restrained 6.2%, capital expenditure is budgeted to expand by a massive 17.1%.</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absolute Capital Expenditure Outlay for FY25 (BE) stands at ₹11,11,111 crore, equivalent to roughly 3.4% of GDP.</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When combined with Grants-in-Aid provided to states for the creation of capital assets (₹3,90,778 crore), the "Effective Capital Expenditure" reaches a formidable ₹15.01 lakh crore.</w:t>
      </w:r>
      <w:r w:rsidDel="00000000" w:rsidR="00000000" w:rsidRPr="00000000">
        <w:rPr>
          <w:rFonts w:ascii="Google Sans" w:cs="Google Sans" w:eastAsia="Google Sans" w:hAnsi="Google Sans"/>
          <w:color w:val="444746"/>
          <w:sz w:val="24"/>
          <w:szCs w:val="24"/>
          <w:vertAlign w:val="superscript"/>
          <w:rtl w:val="0"/>
        </w:rPr>
        <w:t xml:space="preserve">17</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Economic literature robustly demonstrates that capital expenditure exhibits a significantly higher fiscal multiplier compared to revenue expenditure. In the Indian context, the CapEx multiplier is estimated to be between 2.45 and 3.14 (meaning every ₹1 spent on infrastructure generates ₹2.45 to ₹3.14 in economic output over the medium term), whereas the revenue expenditure multiplier is estimated at less than 1 (approximately 0.9).</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Therefore, prioritizing CapEx directly accelerates the crowding-in of private investment, improves multi-modal logistics efficiencies, reduces supply-side inflation by easing bottlenecks, and permanently lifts the aggregate potential growth frontier of the economy.</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Top 5 Sectors/Ministries by Capital Expenditure Outlay (FY25 BE)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understand where the ₹11.11 lakh crore capital outlay is being deployed, one must analyze the specific departmental allocations. The following table arranges the top five ministries and departmental heads strictly in descending order based </w:t>
      </w:r>
      <w:r w:rsidDel="00000000" w:rsidR="00000000" w:rsidRPr="00000000">
        <w:rPr>
          <w:rFonts w:ascii="Google Sans" w:cs="Google Sans" w:eastAsia="Google Sans" w:hAnsi="Google Sans"/>
          <w:i w:val="1"/>
          <w:iCs w:val="1"/>
          <w:color w:val="1f1f1f"/>
          <w:rtl w:val="0"/>
        </w:rPr>
        <w:t xml:space="preserve">only</w:t>
      </w:r>
      <w:r w:rsidDel="00000000" w:rsidR="00000000" w:rsidRPr="00000000">
        <w:rPr>
          <w:rFonts w:ascii="Google Sans" w:cs="Google Sans" w:eastAsia="Google Sans" w:hAnsi="Google Sans"/>
          <w:color w:val="1f1f1f"/>
          <w:rtl w:val="0"/>
        </w:rPr>
        <w:t xml:space="preserve"> on their Capital Outlay (including capital advances and loans integral to asset creation), explicitly excluding their revenue expenditure.</w:t>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4: Top 5 Ministries by Capital Expenditure Outlay (FY25 BE)</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Rank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Ministry / Sector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Capital Expenditure Outlay (₹ in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Focus Areas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Ministry of Road Transport and Highways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₹2,72,241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National High-Speed Corridors, Bharatmala Pariyojana, Expressways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Ministry of Railways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₹2,52,000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Vande Bharat bogies, Track Electrification, Kavach System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Ministry of Defence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₹1,72,000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Armed Forces Modernization, Indigenous Hardware Procurement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Ministry of Finance (Transfers to States)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₹1,62,412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50-Year Interest-Free Capital Loans to State Governments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Department of Communications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₹83,478 crore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BSNL Capital Infusion, 4G/5G Spectrum, Rural Connectivity</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Data Note: The rankings and exact financial figures are extracted from the "Major Variations of Expenditure" and "Expenditure of Ministries and Departments" (Statements 2B and 3) of the Union Budget 2024-25 Expenditure Profile.</w:t>
      </w:r>
      <w:r w:rsidDel="00000000" w:rsidR="00000000" w:rsidRPr="00000000">
        <w:rPr>
          <w:rFonts w:ascii="Google Sans" w:cs="Google Sans" w:eastAsia="Google Sans" w:hAnsi="Google Sans"/>
          <w:color w:val="444746"/>
          <w:sz w:val="24"/>
          <w:szCs w:val="24"/>
          <w:vertAlign w:val="superscript"/>
          <w:rtl w:val="0"/>
        </w:rPr>
        <w:t xml:space="preserve">22</w:t>
      </w:r>
    </w:p>
    <w:p w:rsidR="00000000" w:rsidDel="00000000" w:rsidP="00000000" w:rsidRDefault="00000000" w:rsidRPr="00000000" w14:paraId="0000007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In-Depth Analysis of Capital Deployments</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1. Ministry of Road Transport and Highways (MoRTH): ₹2,72,241 crore</w:t>
      </w:r>
      <w:r w:rsidDel="00000000" w:rsidR="00000000" w:rsidRPr="00000000">
        <w:rPr>
          <w:rFonts w:ascii="Google Sans" w:cs="Google Sans" w:eastAsia="Google Sans" w:hAnsi="Google Sans"/>
          <w:color w:val="1f1f1f"/>
          <w:rtl w:val="0"/>
        </w:rPr>
        <w:t xml:space="preserve"> Out of MoRTH's total budgetary allocation of ₹2,78,000 crore, an overwhelming majority (₹2,72,241 crore) is earmarked strictly for capital expenditure.</w:t>
      </w:r>
      <w:r w:rsidDel="00000000" w:rsidR="00000000" w:rsidRPr="00000000">
        <w:rPr>
          <w:rFonts w:ascii="Google Sans" w:cs="Google Sans" w:eastAsia="Google Sans" w:hAnsi="Google Sans"/>
          <w:color w:val="444746"/>
          <w:sz w:val="24"/>
          <w:szCs w:val="24"/>
          <w:vertAlign w:val="superscript"/>
          <w:rtl w:val="0"/>
        </w:rPr>
        <w:t xml:space="preserve">23</w:t>
      </w:r>
      <w:r w:rsidDel="00000000" w:rsidR="00000000" w:rsidRPr="00000000">
        <w:rPr>
          <w:rFonts w:ascii="Google Sans" w:cs="Google Sans" w:eastAsia="Google Sans" w:hAnsi="Google Sans"/>
          <w:color w:val="1f1f1f"/>
          <w:rtl w:val="0"/>
        </w:rPr>
        <w:t xml:space="preserve"> This funding is the lifeblood of the Bharatmala Pariyojana and the development of National High-Speed Corridors. Over the last decade, capital expenditure on National Highways has increased drastically, expanding the network from 91,287 km in 2014 to 1,46,204 km presently.</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The aggressive capital outlay targets the operationalization of multi-modal logistics parks, which are critical to reducing India's high logistics costs from an estimated 13-14% of GDP down to global standards of 8-10%, thereby enhancing export competitiveness.</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It is also worth noting that the National Highways Authority of India (NHAI) receives the bulk of this allocation to sustain construction momentum without relying on external market borrowings, which helps contain the NHAI's debt-servicing burden.</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2. Ministry of Railways: ₹2,52,000 crore</w:t>
      </w:r>
      <w:r w:rsidDel="00000000" w:rsidR="00000000" w:rsidRPr="00000000">
        <w:rPr>
          <w:rFonts w:ascii="Google Sans" w:cs="Google Sans" w:eastAsia="Google Sans" w:hAnsi="Google Sans"/>
          <w:color w:val="1f1f1f"/>
          <w:rtl w:val="0"/>
        </w:rPr>
        <w:t xml:space="preserve"> The entire allocation of ₹2,52,000 crore to the Ministry of Railways is fundamentally a capital outlay designed to modernize the world's fourth-largest railway network.</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This represents an increase over the RE 2023-24 figures and is completely devoid of revenue deficit funding. Key priorities for this capital include the conversion of 40,000 conventional rail bogies to modern Vande Bharat standards to enhance passenger safety and comfort.</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Additionally, the funds are designated for 100% track electrification, the construction of new lines to decongest existing high-density freight corridors, and the rapid deployment of the indigenous anti-collision technology known as 'Kavach'.</w:t>
      </w:r>
      <w:r w:rsidDel="00000000" w:rsidR="00000000" w:rsidRPr="00000000">
        <w:rPr>
          <w:rFonts w:ascii="Google Sans" w:cs="Google Sans" w:eastAsia="Google Sans" w:hAnsi="Google Sans"/>
          <w:color w:val="444746"/>
          <w:sz w:val="24"/>
          <w:szCs w:val="24"/>
          <w:vertAlign w:val="superscript"/>
          <w:rtl w:val="0"/>
        </w:rPr>
        <w:t xml:space="preserve">20</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3. Ministry of Defence (Capital Outlay on Defence Services): ₹1,72,000 crore</w:t>
      </w:r>
      <w:r w:rsidDel="00000000" w:rsidR="00000000" w:rsidRPr="00000000">
        <w:rPr>
          <w:rFonts w:ascii="Google Sans" w:cs="Google Sans" w:eastAsia="Google Sans" w:hAnsi="Google Sans"/>
          <w:color w:val="1f1f1f"/>
          <w:rtl w:val="0"/>
        </w:rPr>
        <w:t xml:space="preserve"> While the Ministry of Defence holds the highest </w:t>
      </w:r>
      <w:r w:rsidDel="00000000" w:rsidR="00000000" w:rsidRPr="00000000">
        <w:rPr>
          <w:rFonts w:ascii="Google Sans" w:cs="Google Sans" w:eastAsia="Google Sans" w:hAnsi="Google Sans"/>
          <w:i w:val="1"/>
          <w:iCs w:val="1"/>
          <w:color w:val="1f1f1f"/>
          <w:rtl w:val="0"/>
        </w:rPr>
        <w:t xml:space="preserve">total</w:t>
      </w:r>
      <w:r w:rsidDel="00000000" w:rsidR="00000000" w:rsidRPr="00000000">
        <w:rPr>
          <w:rFonts w:ascii="Google Sans" w:cs="Google Sans" w:eastAsia="Google Sans" w:hAnsi="Google Sans"/>
          <w:color w:val="1f1f1f"/>
          <w:rtl w:val="0"/>
        </w:rPr>
        <w:t xml:space="preserve"> budget allocation across all ministries at ₹6,21,941 crore (which includes massive revenue expenditures like salaries and a ₹1.41 lakh crore pension bill), its specific </w:t>
      </w:r>
      <w:r w:rsidDel="00000000" w:rsidR="00000000" w:rsidRPr="00000000">
        <w:rPr>
          <w:rFonts w:ascii="Google Sans" w:cs="Google Sans" w:eastAsia="Google Sans" w:hAnsi="Google Sans"/>
          <w:i w:val="1"/>
          <w:iCs w:val="1"/>
          <w:color w:val="1f1f1f"/>
          <w:rtl w:val="0"/>
        </w:rPr>
        <w:t xml:space="preserve">Capital Outlay</w:t>
      </w:r>
      <w:r w:rsidDel="00000000" w:rsidR="00000000" w:rsidRPr="00000000">
        <w:rPr>
          <w:rFonts w:ascii="Google Sans" w:cs="Google Sans" w:eastAsia="Google Sans" w:hAnsi="Google Sans"/>
          <w:color w:val="1f1f1f"/>
          <w:rtl w:val="0"/>
        </w:rPr>
        <w:t xml:space="preserve"> is ring-fenced at ₹1,72,000 crore.</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This capital allocation is strictly restricted to defense acquisitions, the modernization of the armed forces, and the procurement of state-of-the-art weaponry.</w:t>
      </w:r>
      <w:r w:rsidDel="00000000" w:rsidR="00000000" w:rsidRPr="00000000">
        <w:rPr>
          <w:rFonts w:ascii="Google Sans" w:cs="Google Sans" w:eastAsia="Google Sans" w:hAnsi="Google Sans"/>
          <w:color w:val="444746"/>
          <w:sz w:val="24"/>
          <w:szCs w:val="24"/>
          <w:vertAlign w:val="superscript"/>
          <w:rtl w:val="0"/>
        </w:rPr>
        <w:t xml:space="preserve">27</w:t>
      </w:r>
      <w:r w:rsidDel="00000000" w:rsidR="00000000" w:rsidRPr="00000000">
        <w:rPr>
          <w:rFonts w:ascii="Google Sans" w:cs="Google Sans" w:eastAsia="Google Sans" w:hAnsi="Google Sans"/>
          <w:color w:val="1f1f1f"/>
          <w:rtl w:val="0"/>
        </w:rPr>
        <w:t xml:space="preserve"> A defining macroeconomic shift within this allocation is the mandate to channel a substantial portion (₹1,05,518 crore) toward domestic industries. By enforcing positive indigenization lists, this capital outlay acts as an industrial policy tool, reducing external dependency for critical hardware and fostering an indigenous defense manufacturing ecosystem under the Aatmanirbhar Bharat framework.</w:t>
      </w:r>
      <w:r w:rsidDel="00000000" w:rsidR="00000000" w:rsidRPr="00000000">
        <w:rPr>
          <w:rFonts w:ascii="Google Sans" w:cs="Google Sans" w:eastAsia="Google Sans" w:hAnsi="Google Sans"/>
          <w:color w:val="444746"/>
          <w:sz w:val="24"/>
          <w:szCs w:val="24"/>
          <w:vertAlign w:val="superscript"/>
          <w:rtl w:val="0"/>
        </w:rPr>
        <w:t xml:space="preserve">28</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4. Ministry of Finance (Transfers / Loans and Advances to States): ₹1,62,412 crore</w:t>
      </w:r>
      <w:r w:rsidDel="00000000" w:rsidR="00000000" w:rsidRPr="00000000">
        <w:rPr>
          <w:rFonts w:ascii="Google Sans" w:cs="Google Sans" w:eastAsia="Google Sans" w:hAnsi="Google Sans"/>
          <w:color w:val="1f1f1f"/>
          <w:rtl w:val="0"/>
        </w:rPr>
        <w:t xml:space="preserve"> Listed under the capital portion of transfers within the Ministry of Finance, this massive outlay is driven primarily by the "Scheme for Special Assistance to States for Capital Expenditure".</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Under this scheme, the Union government provides 50-year interest-free loans to state governments, explicitly tied to capital investment.</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This mechanism is a brilliant innovation in fiscal federalism. State governments traditionally bear the brunt of local infrastructure development but are strictly constrained by their own FRBM limits (usually 3% of Gross State Domestic Product). By providing interest-free, long-term capital outside of standard borrowing limits, the Union government ensures horizontal infrastructure alignment across the country without straining state fiscal deficits.</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5. Department of Communications: ₹83,478 crore</w:t>
      </w:r>
      <w:r w:rsidDel="00000000" w:rsidR="00000000" w:rsidRPr="00000000">
        <w:rPr>
          <w:rFonts w:ascii="Google Sans" w:cs="Google Sans" w:eastAsia="Google Sans" w:hAnsi="Google Sans"/>
          <w:color w:val="1f1f1f"/>
          <w:rtl w:val="0"/>
        </w:rPr>
        <w:t xml:space="preserve"> The inclusion of the Department of Communications in the top five capital outlays highlights the government's pivot toward digital infrastructure.</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A dominant driver for this high capital outlay is the systemic capital infusion into Bharat Sanchar Nigam Limited (BSNL). This funding is not for operational bailouts, but specifically to fund the rollout of indigenous 4G and 5G spectrum deployment, modernize legacy telecom networks, and ensure that high-speed digital connectivity reaches remote rural geographies.</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This aligns with broader objectives of the digital economy, ensuring that the foundational physical infrastructure for digital public goods (like UPI and ONDC) reaches the last mile.</w:t>
      </w:r>
    </w:p>
    <w:p w:rsidR="00000000" w:rsidDel="00000000" w:rsidP="00000000" w:rsidRDefault="00000000" w:rsidRPr="00000000" w14:paraId="0000007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4: Fiscal Federalism &amp; Finance Commissions</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Finance Commission, constituted by the President of India under Article 280 of the Constitution, is the constitutional fulcrum of Indian fiscal federalism. Because the Indian Constitution grants the Union government the power to levy the most buoyant taxes (Income Tax, Corporate Tax, Customs) while assigning the most expenditure-heavy responsibilities (public order, health, agriculture) to the States, a vertical fiscal imbalance is inherent.</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Finance Commission's primary mandate is to correct this by determining the vertical devolution (the exact percentage of net central tax proceeds distributed to the States) and horizontal devolution (the mathematical formula deciding how that aggregate pool is distributed among the individual 28 states).</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As the tax base, economic priorities, and demographic profiles of states evolve, the parameters utilized by successive Finance Commissions have adapted. There has been a distinct shift away from utilizing outdated 1971 population metrics towards rewarding demographic performance, preserving forest cover, improving tax effort, and bridging the income distance between wealthy and poorer states.</w:t>
      </w:r>
    </w:p>
    <w:p w:rsidR="00000000" w:rsidDel="00000000" w:rsidP="00000000" w:rsidRDefault="00000000" w:rsidRPr="00000000" w14:paraId="0000008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Chronological List of Finance Commissions (12th to 16th)</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following sequence details the Chairpersons and the specific operational periods for the respective Finance Commissions, providing crucial historical context for their specific mandates.</w:t>
      </w:r>
    </w:p>
    <w:p w:rsidR="00000000" w:rsidDel="00000000" w:rsidP="00000000" w:rsidRDefault="00000000" w:rsidRPr="00000000" w14:paraId="0000008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5: Chronology of Recent Finance Commissions</w:t>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Finance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Chairperson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Operational Period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Devolution Shift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12th Finance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Dr. C. Rangarajan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2005 – 2010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30.5%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13th Finance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Dr. Vijay L. Kelkar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2010 – 2015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32.0%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14th Finance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Dr. Y. V. Reddy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2015 – 2020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42.0%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15th Finance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 K. Singh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2020 – 2021 &amp; 2021 – 2026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41.0%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16th Finance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Dr. Arvind Panagariya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2026 – 2031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i w:val="1"/>
                <w:iCs w:val="1"/>
                <w:color w:val="1f1f1f"/>
                <w:shd w:fill="auto" w:val="clear"/>
              </w:rPr>
            </w:pPr>
            <w:r w:rsidDel="00000000" w:rsidR="00000000" w:rsidRPr="00000000">
              <w:rPr>
                <w:rFonts w:ascii="Google Sans" w:cs="Google Sans" w:eastAsia="Google Sans" w:hAnsi="Google Sans"/>
                <w:i w:val="1"/>
                <w:iCs w:val="1"/>
                <w:color w:val="1f1f1f"/>
                <w:shd w:fill="auto" w:val="clear"/>
                <w:rtl w:val="0"/>
              </w:rPr>
              <w:t xml:space="preserve">(Currently Deliberating)</w:t>
            </w:r>
          </w:p>
        </w:tc>
      </w:tr>
    </w:tbl>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Data Note: The chronologies and chairmanships are historically absolute and corroborated by official constitutional notifications and the Ministry of Finance.</w:t>
      </w:r>
      <w:r w:rsidDel="00000000" w:rsidR="00000000" w:rsidRPr="00000000">
        <w:rPr>
          <w:rFonts w:ascii="Google Sans" w:cs="Google Sans" w:eastAsia="Google Sans" w:hAnsi="Google Sans"/>
          <w:color w:val="444746"/>
          <w:sz w:val="24"/>
          <w:szCs w:val="24"/>
          <w:vertAlign w:val="superscript"/>
          <w:rtl w:val="0"/>
        </w:rPr>
        <w:t xml:space="preserve">30</w:t>
      </w:r>
    </w:p>
    <w:p w:rsidR="00000000" w:rsidDel="00000000" w:rsidP="00000000" w:rsidRDefault="00000000" w:rsidRPr="00000000" w14:paraId="0000009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Contextual Deep-Dive into the Commissions</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12th Finance Commission (Dr. C. Rangarajan | 2005–2010):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Operating during a period of high fiscal vulnerability, the 12th FC established the framework for linking debt relief explicitly to fiscal discipline. It incentivized states to enact their respective Fiscal Responsibility legislations. It recommended a vertical devolution share of 30.5% of central taxes.</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13th Finance Commission (Dr. Vijay L. Kelkar | 2010–2015):</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The 13th FC marginally raised the states' share of central taxes to 32%. Its most significant theoretical contribution was its emphasis on the impending implementation of the Goods and Services Tax (GST). It introduced a design for a "grand bargain" to compensate states for potential revenue losses during the GST transition, laying the intellectual groundwork for the GST Compensation Cess.</w:t>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14th Finance Commission (Dr. Y. V. Reddy | 2015–2020):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This commission represents a watershed moment in the history of Indian fiscal federalism. The 14th FC drastically increased the states' share of the divisible pool from 32% to an unprecedented 42%, marking the largest ever single increase in devolution. This was accompanied by the dismantling of the Planning Commission and the absorption of the archaic "Plan" vs. "Non-Plan" expenditure distinction. By drastically increasing the untied devolution pool, it severely restricted the Union's discretionary tied grants, granting states unprecedented autonomy in deploying fiscal resources based on localized priorities.</w:t>
      </w:r>
    </w:p>
    <w:p w:rsidR="00000000" w:rsidDel="00000000" w:rsidP="00000000" w:rsidRDefault="00000000" w:rsidRPr="00000000" w14:paraId="000000A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15th Finance Commission (N. K. Singh | 2020–2021 &amp; 2021–2026):</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The 15th FC was unique in producing two separate reports due to the constitutional transition of Jammu &amp; Kashmir from a State to a Union Territory, and the onset of the unprecedented COVID-19 pandemic. The vertical devolution was adjusted nominally from 42% down to 41% to account for the Union's new financial and security responsibilities regarding the J&amp;K and Ladakh UTs.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Horizontally, the 15th FC caused a paradigm shift by completely abandoning the 1971 population census in favor of the 2011 census. To appease southern states that had successfully controlled their population growth and feared penalization, the commission introduced a novel "Demographic Performance" criterion (with a 12.5% weight) to reward states that achieved lower total fertility rates. It also maintained a heavy weight on "Income Distance" (45%) to ensure equity for less developed states.</w:t>
      </w:r>
    </w:p>
    <w:p w:rsidR="00000000" w:rsidDel="00000000" w:rsidP="00000000" w:rsidRDefault="00000000" w:rsidRPr="00000000" w14:paraId="000000A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16th Finance Commission (Dr. Arvind Panagariya | 2026–2031):</w:t>
      </w:r>
      <w:r w:rsidDel="00000000" w:rsidR="00000000" w:rsidRPr="00000000">
        <w:rPr>
          <w:rFonts w:ascii="Google Sans" w:cs="Google Sans" w:eastAsia="Google Sans" w:hAnsi="Google Sans"/>
          <w:color w:val="1f1f1f"/>
          <w:rtl w:val="0"/>
        </w:rPr>
        <w:t xml:space="preserve"> Constituted by the President of India on December 31, 2023, the 16th FC is currently in its deliberative phase.</w:t>
      </w:r>
      <w:r w:rsidDel="00000000" w:rsidR="00000000" w:rsidRPr="00000000">
        <w:rPr>
          <w:rFonts w:ascii="Google Sans" w:cs="Google Sans" w:eastAsia="Google Sans" w:hAnsi="Google Sans"/>
          <w:color w:val="444746"/>
          <w:sz w:val="24"/>
          <w:szCs w:val="24"/>
          <w:vertAlign w:val="superscript"/>
          <w:rtl w:val="0"/>
        </w:rPr>
        <w:t xml:space="preserve">32</w:t>
      </w:r>
      <w:r w:rsidDel="00000000" w:rsidR="00000000" w:rsidRPr="00000000">
        <w:rPr>
          <w:rFonts w:ascii="Google Sans" w:cs="Google Sans" w:eastAsia="Google Sans" w:hAnsi="Google Sans"/>
          <w:color w:val="1f1f1f"/>
          <w:rtl w:val="0"/>
        </w:rPr>
        <w:t xml:space="preserve"> Chaired by the former Vice-Chairman of NITI Aayog, the commission's terms of reference mandate a comprehensive review of disaster management financing and an evaluation of mechanisms to augment the consolidated funds of states to supplement the resources of local panchayats and municipalities.</w:t>
      </w:r>
      <w:r w:rsidDel="00000000" w:rsidR="00000000" w:rsidRPr="00000000">
        <w:rPr>
          <w:rFonts w:ascii="Google Sans" w:cs="Google Sans" w:eastAsia="Google Sans" w:hAnsi="Google Sans"/>
          <w:color w:val="444746"/>
          <w:sz w:val="24"/>
          <w:szCs w:val="24"/>
          <w:vertAlign w:val="superscript"/>
          <w:rtl w:val="0"/>
        </w:rPr>
        <w:t xml:space="preserve">30</w:t>
      </w:r>
      <w:r w:rsidDel="00000000" w:rsidR="00000000" w:rsidRPr="00000000">
        <w:rPr>
          <w:rFonts w:ascii="Google Sans" w:cs="Google Sans" w:eastAsia="Google Sans" w:hAnsi="Google Sans"/>
          <w:color w:val="1f1f1f"/>
          <w:rtl w:val="0"/>
        </w:rPr>
        <w:t xml:space="preserve"> Its eventual recommendations, set to be applied from April 1, 2026, will definitively shape the Union-State fiscal architecture for the latter half of the decade.</w:t>
      </w:r>
      <w:r w:rsidDel="00000000" w:rsidR="00000000" w:rsidRPr="00000000">
        <w:rPr>
          <w:rFonts w:ascii="Google Sans" w:cs="Google Sans" w:eastAsia="Google Sans" w:hAnsi="Google Sans"/>
          <w:color w:val="444746"/>
          <w:sz w:val="24"/>
          <w:szCs w:val="24"/>
          <w:vertAlign w:val="superscript"/>
          <w:rtl w:val="0"/>
        </w:rPr>
        <w:t xml:space="preserve">32</w:t>
      </w:r>
    </w:p>
    <w:p w:rsidR="00000000" w:rsidDel="00000000" w:rsidP="00000000" w:rsidRDefault="00000000" w:rsidRPr="00000000" w14:paraId="000000A4">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Supplementary Macroeconomic Dependencies and Quality of Expenditure</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fully contextualize the budgetary constraints and the aggressive fiscal policies detailed in the preceding modules, one must examine the supplementary measures taken by the Union Government to create fiscal space. The ability to fund ₹11.11 lakh crore in capital expenditure while simultaneously shrinking the fiscal deficit to 4.9% is not magical; it requires ruthless prioritization and reallocation.</w:t>
      </w:r>
    </w:p>
    <w:p w:rsidR="00000000" w:rsidDel="00000000" w:rsidP="00000000" w:rsidRDefault="00000000" w:rsidRPr="00000000" w14:paraId="000000A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Subsidy Rationalization</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quality of fiscal expenditure has improved markedly due to the systematic rationalization of subsidies. Subsidies, while politically necessary, are classic examples of revenue expenditure that offer no long-term capital returns. Major subsidies (food, fertilizer, and fuel) are projected to decline from 1.4% of GDP in FY24 (RE) to a deeply controlled 1.2% of GDP in FY25 (BE).</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By restricting leakage through the JAM trinity (Jan Dhan, Aadhaar, Mobile) Direct Benefit Transfer (DBT) framework, and carefully managing global fertilizer procurement, the government secures the requisite capital to fund infrastructure without breaching the FRBM limits.</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A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Mitigating Global Risks</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formulation of the FY25 (BE) estimates does not occur in a vacuum; it is highly calibrated to global economic headwinds. The Economic Survey 2023-24 highlights that while global supply chains are re-orienting (the "China plus one" strategy), India is exceptionally well-positioned to attract long-term Foreign Direct Investment (FDI) into strategic sectors like digital infrastructure, semiconductors, and advanced manufacturing.</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India emerged as the largest destination for greenfield digital investments, attracting USD 114 billion between 2020 and 2024.</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These capital inflows, alongside a managed trade deficit offset by booming services exports, keep the macroeconomic baseline exceptionally stable. The stabilization of the Current Account Deficit ensures that sovereign borrowing costs remain largely insulated from currency depreciation shocks, allowing the Reserve Bank of India to manage monetary liquidity efficiently alongside the government’s fiscal glide path.</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A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Concluding Synthesis</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fiscal blueprint detailed in the Union Budget 2024-25, supported by the data from the Economic Survey 2023-24, underscores a mature, growth-oriented macroeconomic framework. By compressing the Effective Revenue Deficit to a marginal 0.8% and aiming for a Fiscal Deficit of 4.9%, the Union Government is actively substituting debt-financed consumption with debt-financed capital accumulation.</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direct tax-to-GDP ratio reaching a historic 6.7% reflects long-term structural gains in economic formalization, outperforming the indirect tax base and establishing a more equitable, progressive fiscal foundation.</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Simultaneously, the strategic channelling of capital to the Ministry of Road Transport and Highways (₹2.72 lakh crore), Railways (₹2.52 lakh crore), and State Governments via interest-free loans guarantees that the multiplier effects of these investments will permeate the macroeconomy, solving supply-side rigidities and crowding in private investment.</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As the 16th Finance Commission prepares its recommendations for the 2026-2031 period, the sustained discipline of both central and state balance sheets will be paramount. The data clearly illustrates that India has successfully navigated the post-pandemic fiscal challenges and has positioned its budgetary tools exclusively toward sustaining long-term, structural economic growth.</w:t>
      </w:r>
    </w:p>
    <w:p w:rsidR="00000000" w:rsidDel="00000000" w:rsidP="00000000" w:rsidRDefault="00000000" w:rsidRPr="00000000" w14:paraId="000000AE">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2024-25 Analysis - PRS India, accessed February 22, 2026, </w:t>
      </w:r>
      <w:hyperlink r:id="rId6">
        <w:r w:rsidDel="00000000" w:rsidR="00000000" w:rsidRPr="00000000">
          <w:rPr>
            <w:rFonts w:ascii="Google Sans" w:cs="Google Sans" w:eastAsia="Google Sans" w:hAnsi="Google Sans"/>
            <w:color w:val="0000ee"/>
            <w:sz w:val="24"/>
            <w:szCs w:val="24"/>
            <w:u w:val="single"/>
            <w:rtl w:val="0"/>
          </w:rPr>
          <w:t xml:space="preserve">https://prsindia.org/budgets/parliament/union-budget-2024-25-analysis</w:t>
        </w:r>
      </w:hyperlink>
      <w:r w:rsidDel="00000000" w:rsidR="00000000" w:rsidRPr="00000000">
        <w:rPr>
          <w:rtl w:val="0"/>
        </w:rPr>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2024-25 - Invesco Mutual Fund, accessed February 22, 2026, </w:t>
      </w:r>
      <w:hyperlink r:id="rId7">
        <w:r w:rsidDel="00000000" w:rsidR="00000000" w:rsidRPr="00000000">
          <w:rPr>
            <w:rFonts w:ascii="Google Sans" w:cs="Google Sans" w:eastAsia="Google Sans" w:hAnsi="Google Sans"/>
            <w:color w:val="0000ee"/>
            <w:sz w:val="24"/>
            <w:szCs w:val="24"/>
            <w:u w:val="single"/>
            <w:rtl w:val="0"/>
          </w:rPr>
          <w:t xml:space="preserve">https://www.invescomutualfund.com/docs/default-source/default-document-library/union-budget-2024-25.pdf?sfvrsn=106c95c2_0</w:t>
        </w:r>
      </w:hyperlink>
      <w:r w:rsidDel="00000000" w:rsidR="00000000" w:rsidRPr="00000000">
        <w:rPr>
          <w:rtl w:val="0"/>
        </w:rPr>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2023-24 - Committee Reports, accessed February 22, 2026, </w:t>
      </w:r>
      <w:hyperlink r:id="rId8">
        <w:r w:rsidDel="00000000" w:rsidR="00000000" w:rsidRPr="00000000">
          <w:rPr>
            <w:rFonts w:ascii="Google Sans" w:cs="Google Sans" w:eastAsia="Google Sans" w:hAnsi="Google Sans"/>
            <w:color w:val="0000ee"/>
            <w:sz w:val="24"/>
            <w:szCs w:val="24"/>
            <w:u w:val="single"/>
            <w:rtl w:val="0"/>
          </w:rPr>
          <w:t xml:space="preserve">https://prsindia.org/policy/report-summaries/economic-survey-2023-24</w:t>
        </w:r>
      </w:hyperlink>
      <w:r w:rsidDel="00000000" w:rsidR="00000000" w:rsidRPr="00000000">
        <w:rPr>
          <w:rtl w:val="0"/>
        </w:rPr>
      </w:r>
    </w:p>
    <w:p w:rsidR="00000000" w:rsidDel="00000000" w:rsidP="00000000" w:rsidRDefault="00000000" w:rsidRPr="00000000" w14:paraId="000000B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2023-24 - Budget, accessed February 22, 2026, </w:t>
      </w:r>
      <w:hyperlink r:id="rId9">
        <w:r w:rsidDel="00000000" w:rsidR="00000000" w:rsidRPr="00000000">
          <w:rPr>
            <w:rFonts w:ascii="Google Sans" w:cs="Google Sans" w:eastAsia="Google Sans" w:hAnsi="Google Sans"/>
            <w:color w:val="0000ee"/>
            <w:sz w:val="24"/>
            <w:szCs w:val="24"/>
            <w:u w:val="single"/>
            <w:rtl w:val="0"/>
          </w:rPr>
          <w:t xml:space="preserve">https://www.indiabudget.gov.in/budget2024-25/economicsurvey/doc/echapter.pdf</w:t>
        </w:r>
      </w:hyperlink>
      <w:r w:rsidDel="00000000" w:rsidR="00000000" w:rsidRPr="00000000">
        <w:rPr>
          <w:rtl w:val="0"/>
        </w:rPr>
      </w:r>
    </w:p>
    <w:p w:rsidR="00000000" w:rsidDel="00000000" w:rsidP="00000000" w:rsidRDefault="00000000" w:rsidRPr="00000000" w14:paraId="000000B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25 GST RECEIPTS ARE ESTIMATED TO REGISTER A GROWTH OF 11.0 PER CENT OVER RE AND PE FOR FY 2023-24 AT ₹10.62 LAKH CRORE IN BE 2024-25 - PIB, accessed February 22, 2026, </w:t>
      </w:r>
      <w:hyperlink r:id="rId10">
        <w:r w:rsidDel="00000000" w:rsidR="00000000" w:rsidRPr="00000000">
          <w:rPr>
            <w:rFonts w:ascii="Google Sans" w:cs="Google Sans" w:eastAsia="Google Sans" w:hAnsi="Google Sans"/>
            <w:color w:val="0000ee"/>
            <w:sz w:val="24"/>
            <w:szCs w:val="24"/>
            <w:u w:val="single"/>
            <w:rtl w:val="0"/>
          </w:rPr>
          <w:t xml:space="preserve">https://www.pib.gov.in/PressReleasePage.aspx?PRID=2035560</w:t>
        </w:r>
      </w:hyperlink>
      <w:r w:rsidDel="00000000" w:rsidR="00000000" w:rsidRPr="00000000">
        <w:rPr>
          <w:rtl w:val="0"/>
        </w:rPr>
      </w:r>
    </w:p>
    <w:p w:rsidR="00000000" w:rsidDel="00000000" w:rsidP="00000000" w:rsidRDefault="00000000" w:rsidRPr="00000000" w14:paraId="000000B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Analysis 2024-25 - PRS India, accessed February 22, 2026, </w:t>
      </w:r>
      <w:hyperlink r:id="rId11">
        <w:r w:rsidDel="00000000" w:rsidR="00000000" w:rsidRPr="00000000">
          <w:rPr>
            <w:rFonts w:ascii="Google Sans" w:cs="Google Sans" w:eastAsia="Google Sans" w:hAnsi="Google Sans"/>
            <w:color w:val="0000ee"/>
            <w:sz w:val="24"/>
            <w:szCs w:val="24"/>
            <w:u w:val="single"/>
            <w:rtl w:val="0"/>
          </w:rPr>
          <w:t xml:space="preserve">https://prsindia.org/files/budget/budget_parliament/2024/Union_Budget_Analysis_2024-25.pdf</w:t>
        </w:r>
      </w:hyperlink>
      <w:r w:rsidDel="00000000" w:rsidR="00000000" w:rsidRPr="00000000">
        <w:rPr>
          <w:rtl w:val="0"/>
        </w:rPr>
      </w:r>
    </w:p>
    <w:p w:rsidR="00000000" w:rsidDel="00000000" w:rsidP="00000000" w:rsidRDefault="00000000" w:rsidRPr="00000000" w14:paraId="000000B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Highlights - Union Budget, accessed February 22, 2026, </w:t>
      </w:r>
      <w:hyperlink r:id="rId12">
        <w:r w:rsidDel="00000000" w:rsidR="00000000" w:rsidRPr="00000000">
          <w:rPr>
            <w:rFonts w:ascii="Google Sans" w:cs="Google Sans" w:eastAsia="Google Sans" w:hAnsi="Google Sans"/>
            <w:color w:val="0000ee"/>
            <w:sz w:val="24"/>
            <w:szCs w:val="24"/>
            <w:u w:val="single"/>
            <w:rtl w:val="0"/>
          </w:rPr>
          <w:t xml:space="preserve">https://www.indiabudget.gov.in/economicsurvey/doc/Infographics%20English.pdf</w:t>
        </w:r>
      </w:hyperlink>
      <w:r w:rsidDel="00000000" w:rsidR="00000000" w:rsidRPr="00000000">
        <w:rPr>
          <w:rtl w:val="0"/>
        </w:rPr>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FY25: Impact - :: IDBI Capital ::, accessed February 22, 2026, </w:t>
      </w:r>
      <w:hyperlink r:id="rId13">
        <w:r w:rsidDel="00000000" w:rsidR="00000000" w:rsidRPr="00000000">
          <w:rPr>
            <w:rFonts w:ascii="Google Sans" w:cs="Google Sans" w:eastAsia="Google Sans" w:hAnsi="Google Sans"/>
            <w:color w:val="0000ee"/>
            <w:sz w:val="24"/>
            <w:szCs w:val="24"/>
            <w:u w:val="single"/>
            <w:rtl w:val="0"/>
          </w:rPr>
          <w:t xml:space="preserve">https://idbicapital.com/InstitutionReports/Uploads/Union_Budget_FY25_01022024.pdf</w:t>
        </w:r>
      </w:hyperlink>
      <w:r w:rsidDel="00000000" w:rsidR="00000000" w:rsidRPr="00000000">
        <w:rPr>
          <w:rtl w:val="0"/>
        </w:rPr>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Economy Watch - July 2024 | EY, accessed February 22, 2026, </w:t>
      </w:r>
      <w:hyperlink r:id="rId14">
        <w:r w:rsidDel="00000000" w:rsidR="00000000" w:rsidRPr="00000000">
          <w:rPr>
            <w:rFonts w:ascii="Google Sans" w:cs="Google Sans" w:eastAsia="Google Sans" w:hAnsi="Google Sans"/>
            <w:color w:val="0000ee"/>
            <w:sz w:val="24"/>
            <w:szCs w:val="24"/>
            <w:u w:val="single"/>
            <w:rtl w:val="0"/>
          </w:rPr>
          <w:t xml:space="preserve">https://www.ey.com/content/dam/ey-unified-site/ey-com/en-in/services/tax/economy-watch/2024/07/ey-economy-watch-july-2024.pdf</w:t>
        </w:r>
      </w:hyperlink>
      <w:r w:rsidDel="00000000" w:rsidR="00000000" w:rsidRPr="00000000">
        <w:rPr>
          <w:rtl w:val="0"/>
        </w:rPr>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 of the union budget 2024-2025 - Press Release:Press Information Bureau, accessed February 22, 2026, </w:t>
      </w:r>
      <w:hyperlink r:id="rId15">
        <w:r w:rsidDel="00000000" w:rsidR="00000000" w:rsidRPr="00000000">
          <w:rPr>
            <w:rFonts w:ascii="Google Sans" w:cs="Google Sans" w:eastAsia="Google Sans" w:hAnsi="Google Sans"/>
            <w:color w:val="0000ee"/>
            <w:sz w:val="24"/>
            <w:szCs w:val="24"/>
            <w:u w:val="single"/>
            <w:rtl w:val="0"/>
          </w:rPr>
          <w:t xml:space="preserve">https://www.pib.gov.in/PressReleasePage.aspx?PRID=2035618</w:t>
        </w:r>
      </w:hyperlink>
      <w:r w:rsidDel="00000000" w:rsidR="00000000" w:rsidRPr="00000000">
        <w:rPr>
          <w:rtl w:val="0"/>
        </w:rPr>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Government of India - Union Budget, accessed February 22, 2026, </w:t>
      </w:r>
      <w:hyperlink r:id="rId16">
        <w:r w:rsidDel="00000000" w:rsidR="00000000" w:rsidRPr="00000000">
          <w:rPr>
            <w:rFonts w:ascii="Google Sans" w:cs="Google Sans" w:eastAsia="Google Sans" w:hAnsi="Google Sans"/>
            <w:color w:val="0000ee"/>
            <w:sz w:val="24"/>
            <w:szCs w:val="24"/>
            <w:u w:val="single"/>
            <w:rtl w:val="0"/>
          </w:rPr>
          <w:t xml:space="preserve">https://www.indiabudget.gov.in/economicsurvey/doc/echapter.pdf</w:t>
        </w:r>
      </w:hyperlink>
      <w:r w:rsidDel="00000000" w:rsidR="00000000" w:rsidRPr="00000000">
        <w:rPr>
          <w:rtl w:val="0"/>
        </w:rPr>
      </w:r>
    </w:p>
    <w:p w:rsidR="00000000" w:rsidDel="00000000" w:rsidP="00000000" w:rsidRDefault="00000000" w:rsidRPr="00000000" w14:paraId="000000B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Vital Stats : Direct Taxes in India, accessed February 22, 2026, </w:t>
      </w:r>
      <w:hyperlink r:id="rId17">
        <w:r w:rsidDel="00000000" w:rsidR="00000000" w:rsidRPr="00000000">
          <w:rPr>
            <w:rFonts w:ascii="Google Sans" w:cs="Google Sans" w:eastAsia="Google Sans" w:hAnsi="Google Sans"/>
            <w:color w:val="0000ee"/>
            <w:sz w:val="24"/>
            <w:szCs w:val="24"/>
            <w:u w:val="single"/>
            <w:rtl w:val="0"/>
          </w:rPr>
          <w:t xml:space="preserve">https://prsindia.org/billtrack/prs-products/vital-stats-direct-taxes-in-india</w:t>
        </w:r>
      </w:hyperlink>
      <w:r w:rsidDel="00000000" w:rsidR="00000000" w:rsidRPr="00000000">
        <w:rPr>
          <w:rtl w:val="0"/>
        </w:rPr>
      </w:r>
    </w:p>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India's Tax to GDP Ratio: A Look at Revenue Collection - ClearTax, accessed February 22, 2026, </w:t>
      </w:r>
      <w:hyperlink r:id="rId18">
        <w:r w:rsidDel="00000000" w:rsidR="00000000" w:rsidRPr="00000000">
          <w:rPr>
            <w:rFonts w:ascii="Google Sans" w:cs="Google Sans" w:eastAsia="Google Sans" w:hAnsi="Google Sans"/>
            <w:color w:val="0000ee"/>
            <w:sz w:val="24"/>
            <w:szCs w:val="24"/>
            <w:u w:val="single"/>
            <w:rtl w:val="0"/>
          </w:rPr>
          <w:t xml:space="preserve">https://cleartax.in/s/tax-to-gdp-ratio</w:t>
        </w:r>
      </w:hyperlink>
      <w:r w:rsidDel="00000000" w:rsidR="00000000" w:rsidRPr="00000000">
        <w:rPr>
          <w:rtl w:val="0"/>
        </w:rPr>
      </w:r>
    </w:p>
    <w:p w:rsidR="00000000" w:rsidDel="00000000" w:rsidP="00000000" w:rsidRDefault="00000000" w:rsidRPr="00000000" w14:paraId="000000B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Who's Paying India's Bills? Tax System Decoded - Next IAS, accessed February 22, 2026, </w:t>
      </w:r>
      <w:hyperlink r:id="rId19">
        <w:r w:rsidDel="00000000" w:rsidR="00000000" w:rsidRPr="00000000">
          <w:rPr>
            <w:rFonts w:ascii="Google Sans" w:cs="Google Sans" w:eastAsia="Google Sans" w:hAnsi="Google Sans"/>
            <w:color w:val="0000ee"/>
            <w:sz w:val="24"/>
            <w:szCs w:val="24"/>
            <w:u w:val="single"/>
            <w:rtl w:val="0"/>
          </w:rPr>
          <w:t xml:space="preserve">https://www.nextias.com/beyond-classroom/tax-system-in-india</w:t>
        </w:r>
      </w:hyperlink>
      <w:r w:rsidDel="00000000" w:rsidR="00000000" w:rsidRPr="00000000">
        <w:rPr>
          <w:rtl w:val="0"/>
        </w:rPr>
      </w:r>
    </w:p>
    <w:p w:rsidR="00000000" w:rsidDel="00000000" w:rsidP="00000000" w:rsidRDefault="00000000" w:rsidRPr="00000000" w14:paraId="000000B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Next IAS - Who's Paying India's Bills? Tax System Decoded, accessed February 22, 2026, </w:t>
      </w:r>
      <w:hyperlink r:id="rId20">
        <w:r w:rsidDel="00000000" w:rsidR="00000000" w:rsidRPr="00000000">
          <w:rPr>
            <w:rFonts w:ascii="Google Sans" w:cs="Google Sans" w:eastAsia="Google Sans" w:hAnsi="Google Sans"/>
            <w:color w:val="0000ee"/>
            <w:sz w:val="24"/>
            <w:szCs w:val="24"/>
            <w:u w:val="single"/>
            <w:rtl w:val="0"/>
          </w:rPr>
          <w:t xml:space="preserve">https://www.nextias.com/newuploads/Nextias/2025/1/who-is-paying-india-bill-1736573758874.pdf</w:t>
        </w:r>
      </w:hyperlink>
      <w:r w:rsidDel="00000000" w:rsidR="00000000" w:rsidRPr="00000000">
        <w:rPr>
          <w:rtl w:val="0"/>
        </w:rPr>
      </w:r>
    </w:p>
    <w:p w:rsidR="00000000" w:rsidDel="00000000" w:rsidP="00000000" w:rsidRDefault="00000000" w:rsidRPr="00000000" w14:paraId="000000B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Budget 2024-25: Income Tax Contributes More to Govt Revenue Than Corporations, accessed February 22, 2026, </w:t>
      </w:r>
      <w:hyperlink r:id="rId21">
        <w:r w:rsidDel="00000000" w:rsidR="00000000" w:rsidRPr="00000000">
          <w:rPr>
            <w:rFonts w:ascii="Google Sans" w:cs="Google Sans" w:eastAsia="Google Sans" w:hAnsi="Google Sans"/>
            <w:color w:val="0000ee"/>
            <w:sz w:val="24"/>
            <w:szCs w:val="24"/>
            <w:u w:val="single"/>
            <w:rtl w:val="0"/>
          </w:rPr>
          <w:t xml:space="preserve">https://www.cenfa.org/budget-2024-25-income-tax-contributes-more-to-govt-revenue-than-corporations/</w:t>
        </w:r>
      </w:hyperlink>
      <w:r w:rsidDel="00000000" w:rsidR="00000000" w:rsidRPr="00000000">
        <w:rPr>
          <w:rtl w:val="0"/>
        </w:rPr>
      </w:r>
    </w:p>
    <w:p w:rsidR="00000000" w:rsidDel="00000000" w:rsidP="00000000" w:rsidRDefault="00000000" w:rsidRPr="00000000" w14:paraId="000000B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2024-25 Analysis - SBI Bank, accessed February 22, 2026, </w:t>
      </w:r>
      <w:hyperlink r:id="rId22">
        <w:r w:rsidDel="00000000" w:rsidR="00000000" w:rsidRPr="00000000">
          <w:rPr>
            <w:rFonts w:ascii="Google Sans" w:cs="Google Sans" w:eastAsia="Google Sans" w:hAnsi="Google Sans"/>
            <w:color w:val="0000ee"/>
            <w:sz w:val="24"/>
            <w:szCs w:val="24"/>
            <w:u w:val="single"/>
            <w:rtl w:val="0"/>
          </w:rPr>
          <w:t xml:space="preserve">https://sbi.bank.in/webfiles/uploads/files_2425/240724-SBI%20Union%20Budget%20Analysis%202024-25.pdf</w:t>
        </w:r>
      </w:hyperlink>
      <w:r w:rsidDel="00000000" w:rsidR="00000000" w:rsidRPr="00000000">
        <w:rPr>
          <w:rtl w:val="0"/>
        </w:rPr>
      </w:r>
    </w:p>
    <w:p w:rsidR="00000000" w:rsidDel="00000000" w:rsidP="00000000" w:rsidRDefault="00000000" w:rsidRPr="00000000" w14:paraId="000000C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2024: Where does the govt get its money, where does it go?, accessed February 22, 2026, </w:t>
      </w:r>
      <w:hyperlink r:id="rId23">
        <w:r w:rsidDel="00000000" w:rsidR="00000000" w:rsidRPr="00000000">
          <w:rPr>
            <w:rFonts w:ascii="Google Sans" w:cs="Google Sans" w:eastAsia="Google Sans" w:hAnsi="Google Sans"/>
            <w:color w:val="0000ee"/>
            <w:sz w:val="24"/>
            <w:szCs w:val="24"/>
            <w:u w:val="single"/>
            <w:rtl w:val="0"/>
          </w:rPr>
          <w:t xml:space="preserve">https://www.business-standard.com/budget/news/union-budget-2024-where-does-the-govt-get-its-money-where-does-it-go-124072300713_1.html</w:t>
        </w:r>
      </w:hyperlink>
      <w:r w:rsidDel="00000000" w:rsidR="00000000" w:rsidRPr="00000000">
        <w:rPr>
          <w:rtl w:val="0"/>
        </w:rPr>
      </w:r>
    </w:p>
    <w:p w:rsidR="00000000" w:rsidDel="00000000" w:rsidP="00000000" w:rsidRDefault="00000000" w:rsidRPr="00000000" w14:paraId="000000C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Budget 2024 - Vision IAS, accessed February 22, 2026, </w:t>
      </w:r>
      <w:hyperlink r:id="rId24">
        <w:r w:rsidDel="00000000" w:rsidR="00000000" w:rsidRPr="00000000">
          <w:rPr>
            <w:rFonts w:ascii="Google Sans" w:cs="Google Sans" w:eastAsia="Google Sans" w:hAnsi="Google Sans"/>
            <w:color w:val="0000ee"/>
            <w:sz w:val="24"/>
            <w:szCs w:val="24"/>
            <w:u w:val="single"/>
            <w:rtl w:val="0"/>
          </w:rPr>
          <w:t xml:space="preserve">https://cdn.visionias.in/value_added_material/c026a-summary-of-union-interim-budget-2024-25.pdf</w:t>
        </w:r>
      </w:hyperlink>
      <w:r w:rsidDel="00000000" w:rsidR="00000000" w:rsidRPr="00000000">
        <w:rPr>
          <w:rtl w:val="0"/>
        </w:rPr>
      </w:r>
    </w:p>
    <w:p w:rsidR="00000000" w:rsidDel="00000000" w:rsidP="00000000" w:rsidRDefault="00000000" w:rsidRPr="00000000" w14:paraId="000000C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Ministry of Finance | Government of India - Budget, accessed February 22, 2026, </w:t>
      </w:r>
      <w:hyperlink r:id="rId25">
        <w:r w:rsidDel="00000000" w:rsidR="00000000" w:rsidRPr="00000000">
          <w:rPr>
            <w:rFonts w:ascii="Google Sans" w:cs="Google Sans" w:eastAsia="Google Sans" w:hAnsi="Google Sans"/>
            <w:color w:val="0000ee"/>
            <w:sz w:val="24"/>
            <w:szCs w:val="24"/>
            <w:u w:val="single"/>
            <w:rtl w:val="0"/>
          </w:rPr>
          <w:t xml:space="preserve">https://www.indiabudget.gov.in/budget2024-25(I)/index.php</w:t>
        </w:r>
      </w:hyperlink>
      <w:r w:rsidDel="00000000" w:rsidR="00000000" w:rsidRPr="00000000">
        <w:rPr>
          <w:rtl w:val="0"/>
        </w:rPr>
      </w:r>
    </w:p>
    <w:p w:rsidR="00000000" w:rsidDel="00000000" w:rsidP="00000000" w:rsidRDefault="00000000" w:rsidRPr="00000000" w14:paraId="000000C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BUDGET AT A GLANCE 2023-2024, accessed February 22, 2026, </w:t>
      </w:r>
      <w:hyperlink r:id="rId26">
        <w:r w:rsidDel="00000000" w:rsidR="00000000" w:rsidRPr="00000000">
          <w:rPr>
            <w:rFonts w:ascii="Google Sans" w:cs="Google Sans" w:eastAsia="Google Sans" w:hAnsi="Google Sans"/>
            <w:color w:val="0000ee"/>
            <w:sz w:val="24"/>
            <w:szCs w:val="24"/>
            <w:u w:val="single"/>
            <w:rtl w:val="0"/>
          </w:rPr>
          <w:t xml:space="preserve">https://www.indiabudget.gov.in/budget2023-24/doc/Budget_at_Glance/bag1.pdf</w:t>
        </w:r>
      </w:hyperlink>
      <w:r w:rsidDel="00000000" w:rsidR="00000000" w:rsidRPr="00000000">
        <w:rPr>
          <w:rtl w:val="0"/>
        </w:rPr>
      </w:r>
    </w:p>
    <w:p w:rsidR="00000000" w:rsidDel="00000000" w:rsidP="00000000" w:rsidRDefault="00000000" w:rsidRPr="00000000" w14:paraId="000000C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EXPENDITURE PROFILE 2024-2025 - Union Budget, accessed February 22, 2026, </w:t>
      </w:r>
      <w:hyperlink r:id="rId27">
        <w:r w:rsidDel="00000000" w:rsidR="00000000" w:rsidRPr="00000000">
          <w:rPr>
            <w:rFonts w:ascii="Google Sans" w:cs="Google Sans" w:eastAsia="Google Sans" w:hAnsi="Google Sans"/>
            <w:color w:val="0000ee"/>
            <w:sz w:val="24"/>
            <w:szCs w:val="24"/>
            <w:u w:val="single"/>
            <w:rtl w:val="0"/>
          </w:rPr>
          <w:t xml:space="preserve">https://www.indiabudget.gov.in/budget2024-25/doc/eb/vol1.pdf</w:t>
        </w:r>
      </w:hyperlink>
      <w:r w:rsidDel="00000000" w:rsidR="00000000" w:rsidRPr="00000000">
        <w:rPr>
          <w:rtl w:val="0"/>
        </w:rPr>
      </w:r>
    </w:p>
    <w:p w:rsidR="00000000" w:rsidDel="00000000" w:rsidP="00000000" w:rsidRDefault="00000000" w:rsidRPr="00000000" w14:paraId="000000C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Annual Report 2024-25 - Morth, accessed February 22, 2026, </w:t>
      </w:r>
      <w:hyperlink r:id="rId28">
        <w:r w:rsidDel="00000000" w:rsidR="00000000" w:rsidRPr="00000000">
          <w:rPr>
            <w:rFonts w:ascii="Google Sans" w:cs="Google Sans" w:eastAsia="Google Sans" w:hAnsi="Google Sans"/>
            <w:color w:val="0000ee"/>
            <w:sz w:val="24"/>
            <w:szCs w:val="24"/>
            <w:u w:val="single"/>
            <w:rtl w:val="0"/>
          </w:rPr>
          <w:t xml:space="preserve">https://morth.nic.in/sites/default/files/Annual-Report-English-with-Cover.pdf</w:t>
        </w:r>
      </w:hyperlink>
      <w:r w:rsidDel="00000000" w:rsidR="00000000" w:rsidRPr="00000000">
        <w:rPr>
          <w:rtl w:val="0"/>
        </w:rPr>
      </w:r>
    </w:p>
    <w:p w:rsidR="00000000" w:rsidDel="00000000" w:rsidP="00000000" w:rsidRDefault="00000000" w:rsidRPr="00000000" w14:paraId="000000C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Demand for Grants 2024-25 Analysis - Road Transport and Highways - PRS India, accessed February 22, 2026, </w:t>
      </w:r>
      <w:hyperlink r:id="rId29">
        <w:r w:rsidDel="00000000" w:rsidR="00000000" w:rsidRPr="00000000">
          <w:rPr>
            <w:rFonts w:ascii="Google Sans" w:cs="Google Sans" w:eastAsia="Google Sans" w:hAnsi="Google Sans"/>
            <w:color w:val="0000ee"/>
            <w:sz w:val="24"/>
            <w:szCs w:val="24"/>
            <w:u w:val="single"/>
            <w:rtl w:val="0"/>
          </w:rPr>
          <w:t xml:space="preserve">https://prsindia.org/files/budget/budget_parliament/2024/DFG_Analysis_2024-25-Road.pdf</w:t>
        </w:r>
      </w:hyperlink>
      <w:r w:rsidDel="00000000" w:rsidR="00000000" w:rsidRPr="00000000">
        <w:rPr>
          <w:rtl w:val="0"/>
        </w:rPr>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infrastructure development projects - PIB, accessed February 22, 2026, </w:t>
      </w:r>
      <w:hyperlink r:id="rId30">
        <w:r w:rsidDel="00000000" w:rsidR="00000000" w:rsidRPr="00000000">
          <w:rPr>
            <w:rFonts w:ascii="Google Sans" w:cs="Google Sans" w:eastAsia="Google Sans" w:hAnsi="Google Sans"/>
            <w:color w:val="0000ee"/>
            <w:sz w:val="24"/>
            <w:szCs w:val="24"/>
            <w:u w:val="single"/>
            <w:rtl w:val="0"/>
          </w:rPr>
          <w:t xml:space="preserve">https://www.pib.gov.in/PressReleaseIframePage.aspx?PRID=2115215</w:t>
        </w:r>
      </w:hyperlink>
      <w:r w:rsidDel="00000000" w:rsidR="00000000" w:rsidRPr="00000000">
        <w:rPr>
          <w:rtl w:val="0"/>
        </w:rPr>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Year End Review 2025 – Ministry of Road Transport &amp; Highways - Press Release:Press Information Bureau, accessed February 22, 2026, </w:t>
      </w:r>
      <w:hyperlink r:id="rId31">
        <w:r w:rsidDel="00000000" w:rsidR="00000000" w:rsidRPr="00000000">
          <w:rPr>
            <w:rFonts w:ascii="Google Sans" w:cs="Google Sans" w:eastAsia="Google Sans" w:hAnsi="Google Sans"/>
            <w:color w:val="0000ee"/>
            <w:sz w:val="24"/>
            <w:szCs w:val="24"/>
            <w:u w:val="single"/>
            <w:rtl w:val="0"/>
          </w:rPr>
          <w:t xml:space="preserve">https://www.pib.gov.in/PressReleasePage.aspx?PRID=2209837</w:t>
        </w:r>
      </w:hyperlink>
      <w:r w:rsidDel="00000000" w:rsidR="00000000" w:rsidRPr="00000000">
        <w:rPr>
          <w:rtl w:val="0"/>
        </w:rPr>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Rs 6.22 lakh crore allocated to MoD, highest among Ministries, in Regular Union Budget 2024-25; 4.79% higher than FY 2023-24, accessed February 22, 2026, </w:t>
      </w:r>
      <w:hyperlink r:id="rId32">
        <w:r w:rsidDel="00000000" w:rsidR="00000000" w:rsidRPr="00000000">
          <w:rPr>
            <w:rFonts w:ascii="Google Sans" w:cs="Google Sans" w:eastAsia="Google Sans" w:hAnsi="Google Sans"/>
            <w:color w:val="0000ee"/>
            <w:sz w:val="24"/>
            <w:szCs w:val="24"/>
            <w:u w:val="single"/>
            <w:rtl w:val="0"/>
          </w:rPr>
          <w:t xml:space="preserve">https://www.pib.gov.in/PressReleasePage.aspx?PRID=2035748</w:t>
        </w:r>
      </w:hyperlink>
      <w:r w:rsidDel="00000000" w:rsidR="00000000" w:rsidRPr="00000000">
        <w:rPr>
          <w:rtl w:val="0"/>
        </w:rPr>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Defence Budget 2024–25: Key Highlights - MP-IDSA, accessed February 22, 2026, </w:t>
      </w:r>
      <w:hyperlink r:id="rId33">
        <w:r w:rsidDel="00000000" w:rsidR="00000000" w:rsidRPr="00000000">
          <w:rPr>
            <w:rFonts w:ascii="Google Sans" w:cs="Google Sans" w:eastAsia="Google Sans" w:hAnsi="Google Sans"/>
            <w:color w:val="0000ee"/>
            <w:sz w:val="24"/>
            <w:szCs w:val="24"/>
            <w:u w:val="single"/>
            <w:rtl w:val="0"/>
          </w:rPr>
          <w:t xml:space="preserve">https://idsa.in/publisher/issuebrief/defence-budget-2024-25-key-highlights</w:t>
        </w:r>
      </w:hyperlink>
      <w:r w:rsidDel="00000000" w:rsidR="00000000" w:rsidRPr="00000000">
        <w:rPr>
          <w:rtl w:val="0"/>
        </w:rPr>
      </w:r>
    </w:p>
    <w:p w:rsidR="00000000" w:rsidDel="00000000" w:rsidP="00000000" w:rsidRDefault="00000000" w:rsidRPr="00000000" w14:paraId="000000C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Infrastructure Development in India: Market Size, Investments, Govt Initiatives | IBEF, accessed February 22, 2026, </w:t>
      </w:r>
      <w:hyperlink r:id="rId34">
        <w:r w:rsidDel="00000000" w:rsidR="00000000" w:rsidRPr="00000000">
          <w:rPr>
            <w:rFonts w:ascii="Google Sans" w:cs="Google Sans" w:eastAsia="Google Sans" w:hAnsi="Google Sans"/>
            <w:color w:val="0000ee"/>
            <w:sz w:val="24"/>
            <w:szCs w:val="24"/>
            <w:u w:val="single"/>
            <w:rtl w:val="0"/>
          </w:rPr>
          <w:t xml:space="preserve">https://www.ibef.org/industry/infrastructure-sector-india</w:t>
        </w:r>
      </w:hyperlink>
      <w:r w:rsidDel="00000000" w:rsidR="00000000" w:rsidRPr="00000000">
        <w:rPr>
          <w:rtl w:val="0"/>
        </w:rPr>
      </w:r>
    </w:p>
    <w:p w:rsidR="00000000" w:rsidDel="00000000" w:rsidP="00000000" w:rsidRDefault="00000000" w:rsidRPr="00000000" w14:paraId="000000C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Finance Commission - Wikipedia, accessed February 22, 2026, </w:t>
      </w:r>
      <w:hyperlink r:id="rId35">
        <w:r w:rsidDel="00000000" w:rsidR="00000000" w:rsidRPr="00000000">
          <w:rPr>
            <w:rFonts w:ascii="Google Sans" w:cs="Google Sans" w:eastAsia="Google Sans" w:hAnsi="Google Sans"/>
            <w:color w:val="0000ee"/>
            <w:sz w:val="24"/>
            <w:szCs w:val="24"/>
            <w:u w:val="single"/>
            <w:rtl w:val="0"/>
          </w:rPr>
          <w:t xml:space="preserve">https://en.wikipedia.org/wiki/Finance_Commission</w:t>
        </w:r>
      </w:hyperlink>
      <w:r w:rsidDel="00000000" w:rsidR="00000000" w:rsidRPr="00000000">
        <w:rPr>
          <w:rtl w:val="0"/>
        </w:rPr>
      </w:r>
    </w:p>
    <w:p w:rsidR="00000000" w:rsidDel="00000000" w:rsidP="00000000" w:rsidRDefault="00000000" w:rsidRPr="00000000" w14:paraId="000000C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Finance Commission of India: Background, Functions &amp; Members - Testbook, accessed February 22, 2026, </w:t>
      </w:r>
      <w:hyperlink r:id="rId36">
        <w:r w:rsidDel="00000000" w:rsidR="00000000" w:rsidRPr="00000000">
          <w:rPr>
            <w:rFonts w:ascii="Google Sans" w:cs="Google Sans" w:eastAsia="Google Sans" w:hAnsi="Google Sans"/>
            <w:color w:val="0000ee"/>
            <w:sz w:val="24"/>
            <w:szCs w:val="24"/>
            <w:u w:val="single"/>
            <w:rtl w:val="0"/>
          </w:rPr>
          <w:t xml:space="preserve">https://testbook.com/ias-preparation/finance-commission-of-india</w:t>
        </w:r>
      </w:hyperlink>
      <w:r w:rsidDel="00000000" w:rsidR="00000000" w:rsidRPr="00000000">
        <w:rPr>
          <w:rtl w:val="0"/>
        </w:rPr>
      </w:r>
    </w:p>
    <w:p w:rsidR="00000000" w:rsidDel="00000000" w:rsidP="00000000" w:rsidRDefault="00000000" w:rsidRPr="00000000" w14:paraId="000000C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 of the Sixteenth Finance Commission Volume 1 - Budget, accessed February 22, 2026, </w:t>
      </w:r>
      <w:hyperlink r:id="rId37">
        <w:r w:rsidDel="00000000" w:rsidR="00000000" w:rsidRPr="00000000">
          <w:rPr>
            <w:rFonts w:ascii="Google Sans" w:cs="Google Sans" w:eastAsia="Google Sans" w:hAnsi="Google Sans"/>
            <w:color w:val="0000ee"/>
            <w:sz w:val="24"/>
            <w:szCs w:val="24"/>
            <w:u w:val="single"/>
            <w:rtl w:val="0"/>
          </w:rPr>
          <w:t xml:space="preserve">https://www.indiabudget.gov.in/doc/16fcvol1.pdf</w:t>
        </w:r>
      </w:hyperlink>
      <w:r w:rsidDel="00000000" w:rsidR="00000000" w:rsidRPr="00000000">
        <w:rPr>
          <w:rtl w:val="0"/>
        </w:rPr>
      </w:r>
    </w:p>
    <w:p w:rsidR="00000000" w:rsidDel="00000000" w:rsidP="00000000" w:rsidRDefault="00000000" w:rsidRPr="00000000" w14:paraId="000000C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Finance Commission, India, accessed February 22, 2026, </w:t>
      </w:r>
      <w:hyperlink r:id="rId38">
        <w:r w:rsidDel="00000000" w:rsidR="00000000" w:rsidRPr="00000000">
          <w:rPr>
            <w:rFonts w:ascii="Google Sans" w:cs="Google Sans" w:eastAsia="Google Sans" w:hAnsi="Google Sans"/>
            <w:color w:val="0000ee"/>
            <w:sz w:val="24"/>
            <w:szCs w:val="24"/>
            <w:u w:val="single"/>
            <w:rtl w:val="0"/>
          </w:rPr>
          <w:t xml:space="preserve">https://fincomindia.nic.in/</w:t>
        </w:r>
      </w:hyperlink>
      <w:r w:rsidDel="00000000" w:rsidR="00000000" w:rsidRPr="00000000">
        <w:rPr>
          <w:rtl w:val="0"/>
        </w:rPr>
      </w:r>
    </w:p>
    <w:p w:rsidR="00000000" w:rsidDel="00000000" w:rsidP="00000000" w:rsidRDefault="00000000" w:rsidRPr="00000000" w14:paraId="000000D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Statistical Appendix | 65 T able 2.4: Receipts and Expenditure of the Central Government as a perc - Union Budget, accessed February 22, 2026, </w:t>
      </w:r>
      <w:hyperlink r:id="rId39">
        <w:r w:rsidDel="00000000" w:rsidR="00000000" w:rsidRPr="00000000">
          <w:rPr>
            <w:rFonts w:ascii="Google Sans" w:cs="Google Sans" w:eastAsia="Google Sans" w:hAnsi="Google Sans"/>
            <w:color w:val="0000ee"/>
            <w:sz w:val="24"/>
            <w:szCs w:val="24"/>
            <w:u w:val="single"/>
            <w:rtl w:val="0"/>
          </w:rPr>
          <w:t xml:space="preserve">https://www.indiabudget.gov.in/economicsurvey/doc/stat/tab2.4.pdf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extias.com/newuploads/Nextias/2025/1/who-is-paying-india-bill-1736573758874.pdf" TargetMode="External"/><Relationship Id="rId22" Type="http://schemas.openxmlformats.org/officeDocument/2006/relationships/hyperlink" Target="https://sbi.bank.in/webfiles/uploads/files_2425/240724-SBI%20Union%20Budget%20Analysis%202024-25.pdf" TargetMode="External"/><Relationship Id="rId21" Type="http://schemas.openxmlformats.org/officeDocument/2006/relationships/hyperlink" Target="https://www.cenfa.org/budget-2024-25-income-tax-contributes-more-to-govt-revenue-than-corporations/" TargetMode="External"/><Relationship Id="rId24" Type="http://schemas.openxmlformats.org/officeDocument/2006/relationships/hyperlink" Target="https://cdn.visionias.in/value_added_material/c026a-summary-of-union-interim-budget-2024-25.pdf" TargetMode="External"/><Relationship Id="rId23" Type="http://schemas.openxmlformats.org/officeDocument/2006/relationships/hyperlink" Target="https://www.business-standard.com/budget/news/union-budget-2024-where-does-the-govt-get-its-money-where-does-it-go-124072300713_1.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diabudget.gov.in/budget2024-25/economicsurvey/doc/echapter.pdf" TargetMode="External"/><Relationship Id="rId26" Type="http://schemas.openxmlformats.org/officeDocument/2006/relationships/hyperlink" Target="https://www.indiabudget.gov.in/budget2023-24/doc/Budget_at_Glance/bag1.pdf" TargetMode="External"/><Relationship Id="rId25" Type="http://schemas.openxmlformats.org/officeDocument/2006/relationships/hyperlink" Target="https://www.indiabudget.gov.in/budget2024-25(I)/index.php" TargetMode="External"/><Relationship Id="rId28" Type="http://schemas.openxmlformats.org/officeDocument/2006/relationships/hyperlink" Target="https://morth.nic.in/sites/default/files/Annual-Report-English-with-Cover.pdf" TargetMode="External"/><Relationship Id="rId27" Type="http://schemas.openxmlformats.org/officeDocument/2006/relationships/hyperlink" Target="https://www.indiabudget.gov.in/budget2024-25/doc/eb/vol1.pdf" TargetMode="External"/><Relationship Id="rId5" Type="http://schemas.openxmlformats.org/officeDocument/2006/relationships/styles" Target="styles.xml"/><Relationship Id="rId6" Type="http://schemas.openxmlformats.org/officeDocument/2006/relationships/hyperlink" Target="https://prsindia.org/budgets/parliament/union-budget-2024-25-analysis" TargetMode="External"/><Relationship Id="rId29" Type="http://schemas.openxmlformats.org/officeDocument/2006/relationships/hyperlink" Target="https://prsindia.org/files/budget/budget_parliament/2024/DFG_Analysis_2024-25-Road.pdf" TargetMode="External"/><Relationship Id="rId7" Type="http://schemas.openxmlformats.org/officeDocument/2006/relationships/hyperlink" Target="https://www.invescomutualfund.com/docs/default-source/default-document-library/union-budget-2024-25.pdf?sfvrsn=106c95c2_0" TargetMode="External"/><Relationship Id="rId8" Type="http://schemas.openxmlformats.org/officeDocument/2006/relationships/hyperlink" Target="https://prsindia.org/policy/report-summaries/economic-survey-2023-24" TargetMode="External"/><Relationship Id="rId31" Type="http://schemas.openxmlformats.org/officeDocument/2006/relationships/hyperlink" Target="https://www.pib.gov.in/PressReleasePage.aspx?PRID=2209837" TargetMode="External"/><Relationship Id="rId30" Type="http://schemas.openxmlformats.org/officeDocument/2006/relationships/hyperlink" Target="https://www.pib.gov.in/PressReleaseIframePage.aspx?PRID=2115215" TargetMode="External"/><Relationship Id="rId11" Type="http://schemas.openxmlformats.org/officeDocument/2006/relationships/hyperlink" Target="https://prsindia.org/files/budget/budget_parliament/2024/Union_Budget_Analysis_2024-25.pdf" TargetMode="External"/><Relationship Id="rId33" Type="http://schemas.openxmlformats.org/officeDocument/2006/relationships/hyperlink" Target="https://idsa.in/publisher/issuebrief/defence-budget-2024-25-key-highlights" TargetMode="External"/><Relationship Id="rId10" Type="http://schemas.openxmlformats.org/officeDocument/2006/relationships/hyperlink" Target="https://www.pib.gov.in/PressReleasePage.aspx?PRID=2035560" TargetMode="External"/><Relationship Id="rId32" Type="http://schemas.openxmlformats.org/officeDocument/2006/relationships/hyperlink" Target="https://www.pib.gov.in/PressReleasePage.aspx?PRID=2035748" TargetMode="External"/><Relationship Id="rId13" Type="http://schemas.openxmlformats.org/officeDocument/2006/relationships/hyperlink" Target="https://idbicapital.com/InstitutionReports/Uploads/Union_Budget_FY25_01022024.pdf" TargetMode="External"/><Relationship Id="rId35" Type="http://schemas.openxmlformats.org/officeDocument/2006/relationships/hyperlink" Target="https://en.wikipedia.org/wiki/Finance_Commission" TargetMode="External"/><Relationship Id="rId12" Type="http://schemas.openxmlformats.org/officeDocument/2006/relationships/hyperlink" Target="https://www.indiabudget.gov.in/economicsurvey/doc/Infographics%20English.pdf" TargetMode="External"/><Relationship Id="rId34" Type="http://schemas.openxmlformats.org/officeDocument/2006/relationships/hyperlink" Target="https://www.ibef.org/industry/infrastructure-sector-india" TargetMode="External"/><Relationship Id="rId15" Type="http://schemas.openxmlformats.org/officeDocument/2006/relationships/hyperlink" Target="https://www.pib.gov.in/PressReleasePage.aspx?PRID=2035618" TargetMode="External"/><Relationship Id="rId37" Type="http://schemas.openxmlformats.org/officeDocument/2006/relationships/hyperlink" Target="https://www.indiabudget.gov.in/doc/16fcvol1.pdf" TargetMode="External"/><Relationship Id="rId14" Type="http://schemas.openxmlformats.org/officeDocument/2006/relationships/hyperlink" Target="https://www.ey.com/content/dam/ey-unified-site/ey-com/en-in/services/tax/economy-watch/2024/07/ey-economy-watch-july-2024.pdf" TargetMode="External"/><Relationship Id="rId36" Type="http://schemas.openxmlformats.org/officeDocument/2006/relationships/hyperlink" Target="https://testbook.com/ias-preparation/finance-commission-of-india" TargetMode="External"/><Relationship Id="rId17" Type="http://schemas.openxmlformats.org/officeDocument/2006/relationships/hyperlink" Target="https://prsindia.org/billtrack/prs-products/vital-stats-direct-taxes-in-india" TargetMode="External"/><Relationship Id="rId39" Type="http://schemas.openxmlformats.org/officeDocument/2006/relationships/hyperlink" Target="https://www.indiabudget.gov.in/economicsurvey/doc/stat/tab2.4.pdf" TargetMode="External"/><Relationship Id="rId16" Type="http://schemas.openxmlformats.org/officeDocument/2006/relationships/hyperlink" Target="https://www.indiabudget.gov.in/economicsurvey/doc/echapter.pdf" TargetMode="External"/><Relationship Id="rId38" Type="http://schemas.openxmlformats.org/officeDocument/2006/relationships/hyperlink" Target="https://fincomindia.nic.in/" TargetMode="External"/><Relationship Id="rId19" Type="http://schemas.openxmlformats.org/officeDocument/2006/relationships/hyperlink" Target="https://www.nextias.com/beyond-classroom/tax-system-in-india" TargetMode="External"/><Relationship Id="rId18" Type="http://schemas.openxmlformats.org/officeDocument/2006/relationships/hyperlink" Target="https://cleartax.in/s/tax-to-gdp-rat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